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63" w:rsidRDefault="003E0963" w:rsidP="003E0963">
      <w:bookmarkStart w:id="0" w:name="_GoBack"/>
      <w:bookmarkEnd w:id="0"/>
      <w:r>
        <w:rPr>
          <w:rFonts w:hint="eastAsia"/>
        </w:rPr>
        <w:t>第11号様式(第26条関係)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25"/>
        <w:gridCol w:w="708"/>
        <w:gridCol w:w="709"/>
        <w:gridCol w:w="709"/>
        <w:gridCol w:w="79"/>
        <w:gridCol w:w="630"/>
        <w:gridCol w:w="708"/>
        <w:gridCol w:w="62"/>
        <w:gridCol w:w="280"/>
        <w:gridCol w:w="367"/>
        <w:gridCol w:w="578"/>
        <w:gridCol w:w="131"/>
        <w:gridCol w:w="709"/>
        <w:gridCol w:w="34"/>
        <w:gridCol w:w="674"/>
        <w:gridCol w:w="422"/>
        <w:gridCol w:w="287"/>
        <w:gridCol w:w="709"/>
        <w:gridCol w:w="709"/>
        <w:gridCol w:w="269"/>
      </w:tblGrid>
      <w:tr w:rsidR="003E0963" w:rsidTr="003E0963">
        <w:tblPrEx>
          <w:tblCellMar>
            <w:top w:w="0" w:type="dxa"/>
            <w:bottom w:w="0" w:type="dxa"/>
          </w:tblCellMar>
        </w:tblPrEx>
        <w:trPr>
          <w:cantSplit/>
          <w:trHeight w:val="500"/>
        </w:trPr>
        <w:tc>
          <w:tcPr>
            <w:tcW w:w="10765" w:type="dxa"/>
            <w:gridSpan w:val="21"/>
            <w:vAlign w:val="center"/>
          </w:tcPr>
          <w:p w:rsidR="003E0963" w:rsidRDefault="003E0963" w:rsidP="003E0963">
            <w:pPr>
              <w:adjustRightInd w:val="0"/>
              <w:jc w:val="center"/>
            </w:pPr>
            <w:r>
              <w:rPr>
                <w:rFonts w:hint="eastAsia"/>
                <w:spacing w:val="210"/>
              </w:rPr>
              <w:t>物件供給契約</w:t>
            </w:r>
            <w:r>
              <w:rPr>
                <w:rFonts w:hint="eastAsia"/>
              </w:rPr>
              <w:t>書</w:t>
            </w:r>
          </w:p>
        </w:tc>
      </w:tr>
      <w:tr w:rsidR="003E0963" w:rsidTr="003E0963">
        <w:tblPrEx>
          <w:tblCellMar>
            <w:top w:w="0" w:type="dxa"/>
            <w:bottom w:w="0" w:type="dxa"/>
          </w:tblCellMar>
        </w:tblPrEx>
        <w:trPr>
          <w:cantSplit/>
          <w:trHeight w:val="500"/>
        </w:trPr>
        <w:tc>
          <w:tcPr>
            <w:tcW w:w="1470" w:type="dxa"/>
            <w:vAlign w:val="center"/>
          </w:tcPr>
          <w:p w:rsidR="003E0963" w:rsidRDefault="003E0963" w:rsidP="003E0963">
            <w:pPr>
              <w:adjustRightInd w:val="0"/>
              <w:jc w:val="center"/>
            </w:pPr>
            <w:r>
              <w:rPr>
                <w:rFonts w:hint="eastAsia"/>
                <w:spacing w:val="34"/>
              </w:rPr>
              <w:t>契約番</w:t>
            </w:r>
            <w:r>
              <w:rPr>
                <w:rFonts w:hint="eastAsia"/>
              </w:rPr>
              <w:t>号</w:t>
            </w:r>
          </w:p>
        </w:tc>
        <w:tc>
          <w:tcPr>
            <w:tcW w:w="2730" w:type="dxa"/>
            <w:gridSpan w:val="5"/>
            <w:vAlign w:val="center"/>
          </w:tcPr>
          <w:p w:rsidR="003E0963" w:rsidRDefault="003E0963" w:rsidP="003E0963">
            <w:pPr>
              <w:adjustRightInd w:val="0"/>
              <w:jc w:val="center"/>
            </w:pPr>
            <w:r>
              <w:rPr>
                <w:rFonts w:hint="eastAsia"/>
              </w:rPr>
              <w:t xml:space="preserve">　</w:t>
            </w:r>
          </w:p>
        </w:tc>
        <w:tc>
          <w:tcPr>
            <w:tcW w:w="2625" w:type="dxa"/>
            <w:gridSpan w:val="6"/>
            <w:vAlign w:val="center"/>
          </w:tcPr>
          <w:p w:rsidR="003E0963" w:rsidRDefault="003E0963" w:rsidP="003E0963">
            <w:pPr>
              <w:adjustRightInd w:val="0"/>
              <w:jc w:val="center"/>
            </w:pPr>
            <w:r>
              <w:rPr>
                <w:rFonts w:hint="eastAsia"/>
              </w:rPr>
              <w:t>伝票番号</w:t>
            </w:r>
          </w:p>
        </w:tc>
        <w:tc>
          <w:tcPr>
            <w:tcW w:w="3940" w:type="dxa"/>
            <w:gridSpan w:val="9"/>
            <w:vAlign w:val="center"/>
          </w:tcPr>
          <w:p w:rsidR="003E0963" w:rsidRDefault="003E0963" w:rsidP="003E0963">
            <w:pPr>
              <w:adjustRightInd w:val="0"/>
              <w:jc w:val="center"/>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jc w:val="center"/>
            </w:pPr>
            <w:r>
              <w:rPr>
                <w:rFonts w:hint="eastAsia"/>
                <w:spacing w:val="210"/>
              </w:rPr>
              <w:t>品名</w:t>
            </w:r>
            <w:r>
              <w:rPr>
                <w:rFonts w:hint="eastAsia"/>
              </w:rPr>
              <w:t>等</w:t>
            </w:r>
          </w:p>
        </w:tc>
        <w:tc>
          <w:tcPr>
            <w:tcW w:w="1680" w:type="dxa"/>
            <w:gridSpan w:val="4"/>
            <w:vAlign w:val="center"/>
          </w:tcPr>
          <w:p w:rsidR="003E0963" w:rsidRDefault="003E0963" w:rsidP="003E0963">
            <w:pPr>
              <w:adjustRightInd w:val="0"/>
              <w:jc w:val="center"/>
            </w:pPr>
            <w:r>
              <w:rPr>
                <w:rFonts w:hint="eastAsia"/>
                <w:spacing w:val="105"/>
              </w:rPr>
              <w:t>数</w:t>
            </w:r>
            <w:r>
              <w:rPr>
                <w:rFonts w:hint="eastAsia"/>
              </w:rPr>
              <w:t>量</w:t>
            </w:r>
          </w:p>
        </w:tc>
        <w:tc>
          <w:tcPr>
            <w:tcW w:w="945" w:type="dxa"/>
            <w:gridSpan w:val="2"/>
            <w:vAlign w:val="center"/>
          </w:tcPr>
          <w:p w:rsidR="003E0963" w:rsidRDefault="003E0963" w:rsidP="003E0963">
            <w:pPr>
              <w:adjustRightInd w:val="0"/>
              <w:jc w:val="center"/>
            </w:pPr>
            <w:r>
              <w:rPr>
                <w:rFonts w:hint="eastAsia"/>
              </w:rPr>
              <w:t>単位</w:t>
            </w:r>
          </w:p>
        </w:tc>
        <w:tc>
          <w:tcPr>
            <w:tcW w:w="1970" w:type="dxa"/>
            <w:gridSpan w:val="5"/>
            <w:vAlign w:val="center"/>
          </w:tcPr>
          <w:p w:rsidR="003E0963" w:rsidRDefault="003E0963" w:rsidP="003E0963">
            <w:pPr>
              <w:adjustRightInd w:val="0"/>
              <w:jc w:val="center"/>
            </w:pPr>
            <w:r>
              <w:rPr>
                <w:rFonts w:hint="eastAsia"/>
                <w:spacing w:val="105"/>
              </w:rPr>
              <w:t>単</w:t>
            </w:r>
            <w:r>
              <w:rPr>
                <w:rFonts w:hint="eastAsia"/>
              </w:rPr>
              <w:t>価</w:t>
            </w:r>
          </w:p>
        </w:tc>
        <w:tc>
          <w:tcPr>
            <w:tcW w:w="1970" w:type="dxa"/>
            <w:gridSpan w:val="4"/>
            <w:vAlign w:val="center"/>
          </w:tcPr>
          <w:p w:rsidR="003E0963" w:rsidRDefault="003E0963" w:rsidP="003E0963">
            <w:pPr>
              <w:adjustRightInd w:val="0"/>
              <w:jc w:val="center"/>
            </w:pPr>
            <w:r>
              <w:rPr>
                <w:rFonts w:hint="eastAsia"/>
                <w:spacing w:val="105"/>
              </w:rPr>
              <w:t>金</w:t>
            </w:r>
            <w:r>
              <w:rPr>
                <w:rFonts w:hint="eastAsia"/>
              </w:rPr>
              <w:t>額</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4200" w:type="dxa"/>
            <w:gridSpan w:val="6"/>
            <w:vAlign w:val="center"/>
          </w:tcPr>
          <w:p w:rsidR="003E0963" w:rsidRDefault="003E0963" w:rsidP="003E0963">
            <w:pPr>
              <w:adjustRightInd w:val="0"/>
            </w:pPr>
            <w:r>
              <w:rPr>
                <w:rFonts w:hint="eastAsia"/>
              </w:rPr>
              <w:t xml:space="preserve">　</w:t>
            </w:r>
          </w:p>
        </w:tc>
        <w:tc>
          <w:tcPr>
            <w:tcW w:w="1680" w:type="dxa"/>
            <w:gridSpan w:val="4"/>
            <w:vAlign w:val="center"/>
          </w:tcPr>
          <w:p w:rsidR="003E0963" w:rsidRDefault="003E0963" w:rsidP="003E0963">
            <w:pPr>
              <w:adjustRightInd w:val="0"/>
            </w:pPr>
            <w:r>
              <w:rPr>
                <w:rFonts w:hint="eastAsia"/>
              </w:rPr>
              <w:t xml:space="preserve">　</w:t>
            </w:r>
          </w:p>
        </w:tc>
        <w:tc>
          <w:tcPr>
            <w:tcW w:w="945" w:type="dxa"/>
            <w:gridSpan w:val="2"/>
            <w:vAlign w:val="center"/>
          </w:tcPr>
          <w:p w:rsidR="003E0963" w:rsidRDefault="003E0963" w:rsidP="003E0963">
            <w:pPr>
              <w:adjustRightInd w:val="0"/>
            </w:pPr>
            <w:r>
              <w:rPr>
                <w:rFonts w:hint="eastAsia"/>
              </w:rPr>
              <w:t xml:space="preserve">　</w:t>
            </w:r>
          </w:p>
        </w:tc>
        <w:tc>
          <w:tcPr>
            <w:tcW w:w="1970" w:type="dxa"/>
            <w:gridSpan w:val="5"/>
            <w:vAlign w:val="center"/>
          </w:tcPr>
          <w:p w:rsidR="003E0963" w:rsidRDefault="003E0963" w:rsidP="003E0963">
            <w:pPr>
              <w:adjustRightInd w:val="0"/>
            </w:pPr>
            <w:r>
              <w:rPr>
                <w:rFonts w:hint="eastAsia"/>
              </w:rPr>
              <w:t xml:space="preserve">　</w:t>
            </w:r>
          </w:p>
        </w:tc>
        <w:tc>
          <w:tcPr>
            <w:tcW w:w="1970" w:type="dxa"/>
            <w:gridSpan w:val="4"/>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400"/>
        </w:trPr>
        <w:tc>
          <w:tcPr>
            <w:tcW w:w="1470" w:type="dxa"/>
            <w:vMerge w:val="restart"/>
            <w:vAlign w:val="center"/>
          </w:tcPr>
          <w:p w:rsidR="003E0963" w:rsidRDefault="003E0963" w:rsidP="003E0963">
            <w:pPr>
              <w:adjustRightInd w:val="0"/>
              <w:jc w:val="center"/>
            </w:pPr>
            <w:r>
              <w:rPr>
                <w:rFonts w:hint="eastAsia"/>
                <w:spacing w:val="34"/>
              </w:rPr>
              <w:t>契約金</w:t>
            </w:r>
            <w:r>
              <w:rPr>
                <w:rFonts w:hint="eastAsia"/>
              </w:rPr>
              <w:t>額</w:t>
            </w:r>
          </w:p>
        </w:tc>
        <w:tc>
          <w:tcPr>
            <w:tcW w:w="9295" w:type="dxa"/>
            <w:gridSpan w:val="20"/>
            <w:tcBorders>
              <w:bottom w:val="nil"/>
            </w:tcBorders>
            <w:vAlign w:val="center"/>
          </w:tcPr>
          <w:p w:rsidR="003E0963" w:rsidRDefault="003E0963" w:rsidP="003E0963">
            <w:pPr>
              <w:adjustRightInd w:val="0"/>
              <w:jc w:val="right"/>
            </w:pPr>
            <w:r>
              <w:rPr>
                <w:rFonts w:hint="eastAsia"/>
              </w:rPr>
              <w:t xml:space="preserve">億　　　 　　　　　　　　　万　　 　　　　　　　　　　円　</w:t>
            </w:r>
          </w:p>
        </w:tc>
      </w:tr>
      <w:tr w:rsidR="003E0963" w:rsidTr="003E0963">
        <w:tblPrEx>
          <w:tblCellMar>
            <w:top w:w="0" w:type="dxa"/>
            <w:bottom w:w="0" w:type="dxa"/>
          </w:tblCellMar>
        </w:tblPrEx>
        <w:trPr>
          <w:cantSplit/>
          <w:trHeight w:val="500"/>
        </w:trPr>
        <w:tc>
          <w:tcPr>
            <w:tcW w:w="1470" w:type="dxa"/>
            <w:vMerge/>
            <w:vAlign w:val="center"/>
          </w:tcPr>
          <w:p w:rsidR="003E0963" w:rsidRDefault="003E0963" w:rsidP="003E0963">
            <w:pPr>
              <w:adjustRightInd w:val="0"/>
              <w:jc w:val="center"/>
            </w:pPr>
          </w:p>
        </w:tc>
        <w:tc>
          <w:tcPr>
            <w:tcW w:w="525" w:type="dxa"/>
            <w:tcBorders>
              <w:top w:val="nil"/>
              <w:bottom w:val="nil"/>
              <w:right w:val="nil"/>
            </w:tcBorders>
            <w:vAlign w:val="center"/>
          </w:tcPr>
          <w:p w:rsidR="003E0963" w:rsidRDefault="003E0963" w:rsidP="003E0963">
            <w:pPr>
              <w:adjustRightInd w:val="0"/>
            </w:pPr>
            <w:r>
              <w:rPr>
                <w:rFonts w:hint="eastAsia"/>
              </w:rPr>
              <w:t xml:space="preserve">　</w:t>
            </w:r>
          </w:p>
        </w:tc>
        <w:tc>
          <w:tcPr>
            <w:tcW w:w="708" w:type="dxa"/>
            <w:tcBorders>
              <w:top w:val="single" w:sz="12" w:space="0" w:color="auto"/>
              <w:left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gridSpan w:val="2"/>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8" w:type="dxa"/>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gridSpan w:val="3"/>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gridSpan w:val="2"/>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8" w:type="dxa"/>
            <w:gridSpan w:val="2"/>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gridSpan w:val="2"/>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tcBorders>
              <w:top w:val="single" w:sz="12" w:space="0" w:color="auto"/>
              <w:bottom w:val="single" w:sz="12" w:space="0" w:color="auto"/>
            </w:tcBorders>
            <w:vAlign w:val="center"/>
          </w:tcPr>
          <w:p w:rsidR="003E0963" w:rsidRDefault="003E0963" w:rsidP="003E0963">
            <w:pPr>
              <w:adjustRightInd w:val="0"/>
            </w:pPr>
            <w:r>
              <w:rPr>
                <w:rFonts w:hint="eastAsia"/>
              </w:rPr>
              <w:t xml:space="preserve">　</w:t>
            </w:r>
          </w:p>
        </w:tc>
        <w:tc>
          <w:tcPr>
            <w:tcW w:w="709" w:type="dxa"/>
            <w:tcBorders>
              <w:top w:val="single" w:sz="12" w:space="0" w:color="auto"/>
              <w:bottom w:val="single" w:sz="12" w:space="0" w:color="auto"/>
              <w:right w:val="single" w:sz="12" w:space="0" w:color="auto"/>
            </w:tcBorders>
            <w:vAlign w:val="center"/>
          </w:tcPr>
          <w:p w:rsidR="003E0963" w:rsidRDefault="003E0963" w:rsidP="003E0963">
            <w:pPr>
              <w:adjustRightInd w:val="0"/>
            </w:pPr>
            <w:r>
              <w:rPr>
                <w:rFonts w:hint="eastAsia"/>
              </w:rPr>
              <w:t xml:space="preserve">　</w:t>
            </w:r>
          </w:p>
        </w:tc>
        <w:tc>
          <w:tcPr>
            <w:tcW w:w="265" w:type="dxa"/>
            <w:tcBorders>
              <w:top w:val="nil"/>
              <w:left w:val="nil"/>
              <w:bottom w:val="nil"/>
            </w:tcBorders>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400"/>
        </w:trPr>
        <w:tc>
          <w:tcPr>
            <w:tcW w:w="1470" w:type="dxa"/>
            <w:vMerge/>
            <w:tcBorders>
              <w:top w:val="nil"/>
            </w:tcBorders>
            <w:vAlign w:val="center"/>
          </w:tcPr>
          <w:p w:rsidR="003E0963" w:rsidRDefault="003E0963" w:rsidP="003E0963">
            <w:pPr>
              <w:adjustRightInd w:val="0"/>
              <w:jc w:val="center"/>
            </w:pPr>
          </w:p>
        </w:tc>
        <w:tc>
          <w:tcPr>
            <w:tcW w:w="9295" w:type="dxa"/>
            <w:gridSpan w:val="20"/>
            <w:tcBorders>
              <w:top w:val="nil"/>
            </w:tcBorders>
            <w:vAlign w:val="center"/>
          </w:tcPr>
          <w:p w:rsidR="003E0963" w:rsidRDefault="003E0963" w:rsidP="003E0963">
            <w:pPr>
              <w:adjustRightInd w:val="0"/>
              <w:jc w:val="right"/>
            </w:pPr>
            <w:r>
              <w:rPr>
                <w:rFonts w:hint="eastAsia"/>
              </w:rPr>
              <w:t xml:space="preserve">(うち消費税額及び地方消費税額に相当する金額　　　　　　　　　　円)　</w:t>
            </w:r>
          </w:p>
        </w:tc>
      </w:tr>
      <w:tr w:rsidR="003E0963" w:rsidTr="003E0963">
        <w:tblPrEx>
          <w:tblCellMar>
            <w:top w:w="0" w:type="dxa"/>
            <w:bottom w:w="0" w:type="dxa"/>
          </w:tblCellMar>
        </w:tblPrEx>
        <w:trPr>
          <w:cantSplit/>
          <w:trHeight w:val="500"/>
        </w:trPr>
        <w:tc>
          <w:tcPr>
            <w:tcW w:w="1470" w:type="dxa"/>
            <w:vAlign w:val="center"/>
          </w:tcPr>
          <w:p w:rsidR="003E0963" w:rsidRDefault="003E0963" w:rsidP="003E0963">
            <w:pPr>
              <w:adjustRightInd w:val="0"/>
              <w:jc w:val="center"/>
            </w:pPr>
            <w:r>
              <w:rPr>
                <w:rFonts w:hint="eastAsia"/>
                <w:spacing w:val="34"/>
              </w:rPr>
              <w:t>納入場</w:t>
            </w:r>
            <w:r>
              <w:rPr>
                <w:rFonts w:hint="eastAsia"/>
              </w:rPr>
              <w:t>所</w:t>
            </w:r>
          </w:p>
        </w:tc>
        <w:tc>
          <w:tcPr>
            <w:tcW w:w="9295" w:type="dxa"/>
            <w:gridSpan w:val="20"/>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500"/>
        </w:trPr>
        <w:tc>
          <w:tcPr>
            <w:tcW w:w="1470" w:type="dxa"/>
            <w:vAlign w:val="center"/>
          </w:tcPr>
          <w:p w:rsidR="003E0963" w:rsidRDefault="003E0963" w:rsidP="003E0963">
            <w:pPr>
              <w:adjustRightInd w:val="0"/>
              <w:jc w:val="center"/>
            </w:pPr>
            <w:r>
              <w:rPr>
                <w:rFonts w:hint="eastAsia"/>
                <w:spacing w:val="34"/>
              </w:rPr>
              <w:t>納入期</w:t>
            </w:r>
            <w:r>
              <w:rPr>
                <w:rFonts w:hint="eastAsia"/>
              </w:rPr>
              <w:t>限</w:t>
            </w:r>
          </w:p>
        </w:tc>
        <w:tc>
          <w:tcPr>
            <w:tcW w:w="9295" w:type="dxa"/>
            <w:gridSpan w:val="20"/>
            <w:vAlign w:val="center"/>
          </w:tcPr>
          <w:p w:rsidR="003E0963" w:rsidRDefault="003E0963" w:rsidP="003E0963">
            <w:pPr>
              <w:adjustRightInd w:val="0"/>
              <w:jc w:val="center"/>
            </w:pPr>
            <w:r>
              <w:rPr>
                <w:rFonts w:hint="eastAsia"/>
              </w:rPr>
              <w:t>年　　　　月　　　　日まで</w:t>
            </w:r>
          </w:p>
        </w:tc>
      </w:tr>
      <w:tr w:rsidR="003E0963" w:rsidTr="003E0963">
        <w:tblPrEx>
          <w:tblCellMar>
            <w:top w:w="0" w:type="dxa"/>
            <w:bottom w:w="0" w:type="dxa"/>
          </w:tblCellMar>
        </w:tblPrEx>
        <w:trPr>
          <w:cantSplit/>
          <w:trHeight w:val="900"/>
        </w:trPr>
        <w:tc>
          <w:tcPr>
            <w:tcW w:w="1470" w:type="dxa"/>
            <w:vAlign w:val="center"/>
          </w:tcPr>
          <w:p w:rsidR="003E0963" w:rsidRDefault="003E0963" w:rsidP="003E0963">
            <w:pPr>
              <w:adjustRightInd w:val="0"/>
              <w:jc w:val="center"/>
            </w:pPr>
            <w:r>
              <w:rPr>
                <w:rFonts w:hint="eastAsia"/>
              </w:rPr>
              <w:t>契約保証金</w:t>
            </w:r>
          </w:p>
        </w:tc>
        <w:tc>
          <w:tcPr>
            <w:tcW w:w="2730" w:type="dxa"/>
            <w:gridSpan w:val="5"/>
            <w:vAlign w:val="center"/>
          </w:tcPr>
          <w:p w:rsidR="003E0963" w:rsidRDefault="003E0963" w:rsidP="003E0963">
            <w:pPr>
              <w:adjustRightInd w:val="0"/>
            </w:pPr>
            <w:r>
              <w:rPr>
                <w:rFonts w:hint="eastAsia"/>
              </w:rPr>
              <w:t xml:space="preserve">　</w:t>
            </w:r>
            <w:r w:rsidR="008B6291">
              <w:rPr>
                <w:rFonts w:hint="eastAsia"/>
              </w:rPr>
              <w:t>免除</w:t>
            </w:r>
          </w:p>
        </w:tc>
        <w:tc>
          <w:tcPr>
            <w:tcW w:w="1400" w:type="dxa"/>
            <w:gridSpan w:val="3"/>
            <w:vAlign w:val="center"/>
          </w:tcPr>
          <w:p w:rsidR="003E0963" w:rsidRDefault="003E0963" w:rsidP="003E0963">
            <w:pPr>
              <w:adjustRightInd w:val="0"/>
            </w:pPr>
            <w:r>
              <w:rPr>
                <w:rFonts w:hint="eastAsia"/>
              </w:rPr>
              <w:t>瑕疵担</w:t>
            </w:r>
            <w:r>
              <w:rPr>
                <w:rFonts w:hint="eastAsia"/>
                <w:spacing w:val="180"/>
              </w:rPr>
              <w:t>保</w:t>
            </w:r>
            <w:r>
              <w:rPr>
                <w:rFonts w:hint="eastAsia"/>
              </w:rPr>
              <w:t>契約保証金</w:t>
            </w:r>
          </w:p>
        </w:tc>
        <w:tc>
          <w:tcPr>
            <w:tcW w:w="2099" w:type="dxa"/>
            <w:gridSpan w:val="6"/>
            <w:vAlign w:val="center"/>
          </w:tcPr>
          <w:p w:rsidR="003E0963" w:rsidRDefault="003E0963" w:rsidP="003E0963">
            <w:pPr>
              <w:adjustRightInd w:val="0"/>
            </w:pPr>
            <w:r>
              <w:rPr>
                <w:rFonts w:hint="eastAsia"/>
              </w:rPr>
              <w:t xml:space="preserve">　</w:t>
            </w:r>
            <w:r w:rsidR="008B6291">
              <w:rPr>
                <w:rFonts w:hint="eastAsia"/>
              </w:rPr>
              <w:t>免除</w:t>
            </w:r>
          </w:p>
        </w:tc>
        <w:tc>
          <w:tcPr>
            <w:tcW w:w="1092" w:type="dxa"/>
            <w:gridSpan w:val="2"/>
            <w:vAlign w:val="center"/>
          </w:tcPr>
          <w:p w:rsidR="003E0963" w:rsidRDefault="003E0963" w:rsidP="003E0963">
            <w:pPr>
              <w:adjustRightInd w:val="0"/>
              <w:jc w:val="center"/>
            </w:pPr>
            <w:r>
              <w:rPr>
                <w:rFonts w:hint="eastAsia"/>
              </w:rPr>
              <w:t>瑕疵担保契約期間</w:t>
            </w:r>
          </w:p>
        </w:tc>
        <w:tc>
          <w:tcPr>
            <w:tcW w:w="1974" w:type="dxa"/>
            <w:gridSpan w:val="4"/>
            <w:vAlign w:val="center"/>
          </w:tcPr>
          <w:p w:rsidR="003E0963" w:rsidRDefault="003E0963" w:rsidP="003E0963">
            <w:pPr>
              <w:adjustRightInd w:val="0"/>
              <w:ind w:left="105" w:right="97" w:hanging="105"/>
              <w:jc w:val="center"/>
            </w:pPr>
            <w:r>
              <w:rPr>
                <w:rFonts w:hint="eastAsia"/>
              </w:rPr>
              <w:t xml:space="preserve"> 物件の引渡しの日から起算して　　　　　月間</w:t>
            </w:r>
          </w:p>
        </w:tc>
      </w:tr>
      <w:tr w:rsidR="003E0963" w:rsidTr="003E0963">
        <w:tblPrEx>
          <w:tblCellMar>
            <w:top w:w="0" w:type="dxa"/>
            <w:bottom w:w="0" w:type="dxa"/>
          </w:tblCellMar>
        </w:tblPrEx>
        <w:trPr>
          <w:cantSplit/>
          <w:trHeight w:val="500"/>
        </w:trPr>
        <w:tc>
          <w:tcPr>
            <w:tcW w:w="1470" w:type="dxa"/>
            <w:vAlign w:val="center"/>
          </w:tcPr>
          <w:p w:rsidR="003E0963" w:rsidRDefault="003E0963" w:rsidP="003E0963">
            <w:pPr>
              <w:adjustRightInd w:val="0"/>
              <w:jc w:val="center"/>
            </w:pPr>
            <w:r>
              <w:rPr>
                <w:rFonts w:hint="eastAsia"/>
              </w:rPr>
              <w:t>その他の事項</w:t>
            </w:r>
          </w:p>
        </w:tc>
        <w:tc>
          <w:tcPr>
            <w:tcW w:w="9295" w:type="dxa"/>
            <w:gridSpan w:val="20"/>
            <w:vAlign w:val="center"/>
          </w:tcPr>
          <w:p w:rsidR="003E0963" w:rsidRDefault="003E0963" w:rsidP="003E0963">
            <w:pPr>
              <w:adjustRightInd w:val="0"/>
            </w:pPr>
            <w:r>
              <w:rPr>
                <w:rFonts w:hint="eastAsia"/>
              </w:rPr>
              <w:t xml:space="preserve">　</w:t>
            </w:r>
          </w:p>
        </w:tc>
      </w:tr>
      <w:tr w:rsidR="003E0963" w:rsidTr="003E0963">
        <w:tblPrEx>
          <w:tblCellMar>
            <w:top w:w="0" w:type="dxa"/>
            <w:bottom w:w="0" w:type="dxa"/>
          </w:tblCellMar>
        </w:tblPrEx>
        <w:trPr>
          <w:cantSplit/>
          <w:trHeight w:val="4200"/>
        </w:trPr>
        <w:tc>
          <w:tcPr>
            <w:tcW w:w="10765" w:type="dxa"/>
            <w:gridSpan w:val="21"/>
            <w:vAlign w:val="center"/>
          </w:tcPr>
          <w:p w:rsidR="003E0963" w:rsidRDefault="003E0963" w:rsidP="003E0963">
            <w:pPr>
              <w:adjustRightInd w:val="0"/>
            </w:pPr>
            <w:r>
              <w:rPr>
                <w:rFonts w:hint="eastAsia"/>
              </w:rPr>
              <w:t xml:space="preserve">　上記の物件発注について発注者と受注者は，藤沢市契約規則(昭和37年藤沢市規則第46号。以下「規則」という。)を遵守の上，当事者間に次のとおり供給契約を締結する。</w:t>
            </w:r>
          </w:p>
          <w:p w:rsidR="003E0963" w:rsidRDefault="003E0963" w:rsidP="003E0963">
            <w:pPr>
              <w:adjustRightInd w:val="0"/>
            </w:pPr>
            <w:r>
              <w:rPr>
                <w:rFonts w:hint="eastAsia"/>
              </w:rPr>
              <w:t xml:space="preserve">　この契約の締結を証するため，本書2通を作成し，当事者記名押印の上，各自その1通を保有する。</w:t>
            </w:r>
          </w:p>
          <w:p w:rsidR="003E0963" w:rsidRDefault="003E0963" w:rsidP="003E0963">
            <w:pPr>
              <w:adjustRightInd w:val="0"/>
            </w:pPr>
          </w:p>
          <w:p w:rsidR="003E0963" w:rsidRDefault="003E0963" w:rsidP="003E0963">
            <w:pPr>
              <w:adjustRightInd w:val="0"/>
            </w:pPr>
            <w:r>
              <w:rPr>
                <w:rFonts w:hint="eastAsia"/>
              </w:rPr>
              <w:t xml:space="preserve">　　　　年　　月　　日</w:t>
            </w:r>
          </w:p>
          <w:p w:rsidR="003E0963" w:rsidRDefault="003E0963" w:rsidP="003E0963">
            <w:pPr>
              <w:adjustRightInd w:val="0"/>
            </w:pPr>
          </w:p>
          <w:p w:rsidR="003E0963" w:rsidRDefault="003E0963" w:rsidP="003E0963">
            <w:pPr>
              <w:adjustRightInd w:val="0"/>
              <w:jc w:val="right"/>
            </w:pPr>
            <w:r>
              <w:rPr>
                <w:rFonts w:hint="eastAsia"/>
                <w:spacing w:val="105"/>
              </w:rPr>
              <w:t>住</w:t>
            </w:r>
            <w:r>
              <w:rPr>
                <w:rFonts w:hint="eastAsia"/>
              </w:rPr>
              <w:t xml:space="preserve">所　　　　　藤沢市朝日町1番地の1　　　　　　　　　　　　　　　　</w:t>
            </w:r>
          </w:p>
          <w:p w:rsidR="003E0963" w:rsidRDefault="003E0963" w:rsidP="003E0963">
            <w:pPr>
              <w:adjustRightInd w:val="0"/>
              <w:jc w:val="right"/>
            </w:pPr>
            <w:r>
              <w:rPr>
                <w:rFonts w:hint="eastAsia"/>
              </w:rPr>
              <w:t xml:space="preserve">発注者　　　</w:t>
            </w:r>
            <w:r>
              <w:rPr>
                <w:rFonts w:hint="eastAsia"/>
                <w:spacing w:val="105"/>
              </w:rPr>
              <w:t>氏</w:t>
            </w:r>
            <w:r>
              <w:rPr>
                <w:rFonts w:hint="eastAsia"/>
              </w:rPr>
              <w:t xml:space="preserve">名　　　　　</w:t>
            </w:r>
            <w:r>
              <w:rPr>
                <w:rFonts w:hint="eastAsia"/>
                <w:spacing w:val="52"/>
              </w:rPr>
              <w:t>藤沢</w:t>
            </w:r>
            <w:r>
              <w:rPr>
                <w:rFonts w:hint="eastAsia"/>
              </w:rPr>
              <w:t xml:space="preserve">市　　　　　　　　　　　　　　　　　　　　　　</w:t>
            </w:r>
          </w:p>
          <w:p w:rsidR="003E0963" w:rsidRDefault="003E0963" w:rsidP="003E0963">
            <w:pPr>
              <w:adjustRightInd w:val="0"/>
              <w:jc w:val="right"/>
            </w:pPr>
            <w:r>
              <w:rPr>
                <w:rFonts w:hint="eastAsia"/>
              </w:rPr>
              <w:t xml:space="preserve">藤沢市長　　　　　　</w:t>
            </w:r>
            <w:r>
              <w:rPr>
                <w:rFonts w:hint="eastAsia"/>
                <w:spacing w:val="420"/>
              </w:rPr>
              <w:t>氏</w:t>
            </w:r>
            <w:r>
              <w:rPr>
                <w:rFonts w:hint="eastAsia"/>
              </w:rPr>
              <w:t xml:space="preserve">名　　　　　　　印　　</w:t>
            </w:r>
          </w:p>
          <w:p w:rsidR="003E0963" w:rsidRDefault="003E0963" w:rsidP="003E0963">
            <w:pPr>
              <w:adjustRightInd w:val="0"/>
            </w:pPr>
          </w:p>
          <w:p w:rsidR="003E0963" w:rsidRDefault="003E0963" w:rsidP="003E0963">
            <w:pPr>
              <w:adjustRightInd w:val="0"/>
              <w:jc w:val="right"/>
            </w:pPr>
            <w:r>
              <w:rPr>
                <w:rFonts w:hint="eastAsia"/>
                <w:spacing w:val="105"/>
              </w:rPr>
              <w:t>住</w:t>
            </w:r>
            <w:r>
              <w:rPr>
                <w:rFonts w:hint="eastAsia"/>
              </w:rPr>
              <w:t xml:space="preserve">所　　　　　　　　　　　　　　　　　　　　　　　　　　　　　　　</w:t>
            </w:r>
          </w:p>
          <w:p w:rsidR="003E0963" w:rsidRDefault="003E0963" w:rsidP="003E0963">
            <w:pPr>
              <w:adjustRightInd w:val="0"/>
              <w:jc w:val="right"/>
            </w:pPr>
            <w:r>
              <w:rPr>
                <w:rFonts w:hint="eastAsia"/>
              </w:rPr>
              <w:t xml:space="preserve">受注者　　　商号又は名称　　　　　　　　　　　　　　　　　　　　　　　　　　　　</w:t>
            </w:r>
          </w:p>
          <w:p w:rsidR="003E0963" w:rsidRDefault="003E0963" w:rsidP="003E0963">
            <w:pPr>
              <w:adjustRightInd w:val="0"/>
              <w:jc w:val="right"/>
            </w:pPr>
            <w:r>
              <w:rPr>
                <w:rFonts w:hint="eastAsia"/>
              </w:rPr>
              <w:t xml:space="preserve">代表者氏名　　　　　　　　　　　　　　　　　　　　　　　　　　印　　</w:t>
            </w:r>
          </w:p>
        </w:tc>
      </w:tr>
    </w:tbl>
    <w:p w:rsidR="003E0963" w:rsidRDefault="003E0963" w:rsidP="003E0963">
      <w:pPr>
        <w:adjustRightInd w:val="0"/>
      </w:pPr>
    </w:p>
    <w:p w:rsidR="003E0963" w:rsidRDefault="003E0963" w:rsidP="003E0963">
      <w:pPr>
        <w:adjustRightInd w:val="0"/>
      </w:pPr>
      <w:r>
        <w:br w:type="page"/>
      </w:r>
      <w:r>
        <w:rPr>
          <w:rFonts w:hint="eastAsia"/>
        </w:rPr>
        <w:lastRenderedPageBreak/>
        <w:t xml:space="preserve">　(総則)</w:t>
      </w:r>
    </w:p>
    <w:p w:rsidR="003E0963" w:rsidRDefault="003E0963" w:rsidP="003E0963">
      <w:pPr>
        <w:adjustRightInd w:val="0"/>
        <w:ind w:left="210" w:hanging="210"/>
      </w:pPr>
      <w:r>
        <w:rPr>
          <w:rFonts w:hint="eastAsia"/>
        </w:rPr>
        <w:t>第1条　受注者は，別冊仕様書及び図面に基づき，契約金額をもつて物件を契約期限までに納入しなければならない。</w:t>
      </w:r>
    </w:p>
    <w:p w:rsidR="003E0963" w:rsidRDefault="003E0963" w:rsidP="003E0963">
      <w:pPr>
        <w:adjustRightInd w:val="0"/>
        <w:ind w:left="210" w:hanging="210"/>
      </w:pPr>
      <w:r>
        <w:rPr>
          <w:rFonts w:hint="eastAsia"/>
        </w:rPr>
        <w:t xml:space="preserve">　(権利義務の譲渡等の禁止)</w:t>
      </w:r>
    </w:p>
    <w:p w:rsidR="003E0963" w:rsidRDefault="003E0963" w:rsidP="003E0963">
      <w:pPr>
        <w:adjustRightInd w:val="0"/>
        <w:ind w:left="210" w:hanging="210"/>
      </w:pPr>
      <w:r>
        <w:rPr>
          <w:rFonts w:hint="eastAsia"/>
        </w:rPr>
        <w:t>第2条　受注者は，物件を第三者に供給させ，又はこの契約によつて生ずる権利及び義務を譲渡してはならない。</w:t>
      </w:r>
    </w:p>
    <w:p w:rsidR="003E0963" w:rsidRDefault="003E0963" w:rsidP="003E0963">
      <w:pPr>
        <w:adjustRightInd w:val="0"/>
        <w:ind w:left="210" w:hanging="210"/>
      </w:pPr>
      <w:r>
        <w:rPr>
          <w:rFonts w:hint="eastAsia"/>
        </w:rPr>
        <w:t xml:space="preserve">　(仕様書又は図面の変更)</w:t>
      </w:r>
    </w:p>
    <w:p w:rsidR="003E0963" w:rsidRDefault="003E0963" w:rsidP="003E0963">
      <w:pPr>
        <w:adjustRightInd w:val="0"/>
        <w:ind w:left="210" w:hanging="210"/>
      </w:pPr>
      <w:r>
        <w:rPr>
          <w:rFonts w:hint="eastAsia"/>
        </w:rPr>
        <w:t>第3条　発注者は，必要があると認めるときは，仕様書又は図面を変更することができる。この場合において，契約金額又は納期を変更する必要があるときは，発注者と受注者とが協議して定める。</w:t>
      </w:r>
    </w:p>
    <w:p w:rsidR="003E0963" w:rsidRDefault="003E0963" w:rsidP="003E0963">
      <w:pPr>
        <w:adjustRightInd w:val="0"/>
        <w:ind w:left="210" w:hanging="210"/>
      </w:pPr>
      <w:r>
        <w:rPr>
          <w:rFonts w:hint="eastAsia"/>
        </w:rPr>
        <w:t xml:space="preserve">　(受注者の請求による納期の延長)</w:t>
      </w:r>
    </w:p>
    <w:p w:rsidR="003E0963" w:rsidRDefault="003E0963" w:rsidP="003E0963">
      <w:pPr>
        <w:adjustRightInd w:val="0"/>
        <w:ind w:left="210" w:hanging="210"/>
      </w:pPr>
      <w:r>
        <w:rPr>
          <w:rFonts w:hint="eastAsia"/>
        </w:rPr>
        <w:t>第4条　受注者は，自己の責めに帰す</w:t>
      </w:r>
      <w:r>
        <w:rPr>
          <w:rFonts w:hint="eastAsia"/>
          <w:spacing w:val="-1"/>
        </w:rPr>
        <w:t>ことができない理由により，納期内に物件を納入することができないときは，発注者に対して遅滞なく，その理由を記載した納期延長申請書を提出し，その承認を受けなければならない。</w:t>
      </w:r>
    </w:p>
    <w:p w:rsidR="003E0963" w:rsidRDefault="003E0963" w:rsidP="003E0963">
      <w:pPr>
        <w:adjustRightInd w:val="0"/>
        <w:ind w:left="210" w:hanging="210"/>
      </w:pPr>
      <w:r>
        <w:rPr>
          <w:rFonts w:hint="eastAsia"/>
        </w:rPr>
        <w:t xml:space="preserve">　(検査，引渡し等)</w:t>
      </w:r>
    </w:p>
    <w:p w:rsidR="003E0963" w:rsidRDefault="003E0963" w:rsidP="003E0963">
      <w:pPr>
        <w:adjustRightInd w:val="0"/>
        <w:ind w:left="210" w:hanging="210"/>
      </w:pPr>
      <w:r>
        <w:rPr>
          <w:rFonts w:hint="eastAsia"/>
        </w:rPr>
        <w:t>第5条　受注者は，物件を納入しようとするときは，発注者の検査を受け，これに合格したときは，物件を発注者に引き渡さなければならない。</w:t>
      </w:r>
    </w:p>
    <w:p w:rsidR="003E0963" w:rsidRDefault="003E0963" w:rsidP="003E0963">
      <w:pPr>
        <w:adjustRightInd w:val="0"/>
        <w:ind w:left="210" w:hanging="210"/>
      </w:pPr>
      <w:r>
        <w:rPr>
          <w:rFonts w:hint="eastAsia"/>
        </w:rPr>
        <w:t>2　物件の性格によつて発注者が検査を行うことができない場合は，第三者に検査を依頼するものとし，その費用は受注者の負担とする。</w:t>
      </w:r>
    </w:p>
    <w:p w:rsidR="003E0963" w:rsidRDefault="003E0963" w:rsidP="003E0963">
      <w:pPr>
        <w:adjustRightInd w:val="0"/>
        <w:ind w:left="210" w:hanging="210"/>
      </w:pPr>
      <w:r>
        <w:rPr>
          <w:rFonts w:hint="eastAsia"/>
        </w:rPr>
        <w:t>3　検査の結果不合格品があるときは，受注者は，発注者の指定する期間内に，良品と引き換え，検査を受けなければならない。</w:t>
      </w:r>
    </w:p>
    <w:p w:rsidR="003E0963" w:rsidRDefault="003E0963" w:rsidP="003E0963">
      <w:pPr>
        <w:adjustRightInd w:val="0"/>
        <w:ind w:left="210" w:hanging="210"/>
      </w:pPr>
      <w:r>
        <w:rPr>
          <w:rFonts w:hint="eastAsia"/>
        </w:rPr>
        <w:t xml:space="preserve">　(検査前の紛失等)</w:t>
      </w:r>
    </w:p>
    <w:p w:rsidR="003E0963" w:rsidRDefault="003E0963" w:rsidP="003E0963">
      <w:pPr>
        <w:adjustRightInd w:val="0"/>
        <w:ind w:left="210" w:hanging="210"/>
      </w:pPr>
      <w:r>
        <w:rPr>
          <w:rFonts w:hint="eastAsia"/>
        </w:rPr>
        <w:t>第6条　物件を指定場所に持ち込み，前条の規定による検査の前に，紛失し，又はき損したときは，その損害は，受注者の負担とする。ただし，天災その他特別な理由があると認められるときは，発注者と受注者とが協議して，その負担者及び負担額を定めるものとする。</w:t>
      </w:r>
    </w:p>
    <w:p w:rsidR="003E0963" w:rsidRDefault="003E0963" w:rsidP="003E0963">
      <w:pPr>
        <w:adjustRightInd w:val="0"/>
        <w:ind w:left="210" w:hanging="210"/>
      </w:pPr>
      <w:r>
        <w:rPr>
          <w:rFonts w:hint="eastAsia"/>
        </w:rPr>
        <w:t xml:space="preserve">　(供給代金の支払い)</w:t>
      </w:r>
    </w:p>
    <w:p w:rsidR="003E0963" w:rsidRDefault="003E0963" w:rsidP="003E0963">
      <w:pPr>
        <w:adjustRightInd w:val="0"/>
        <w:ind w:left="210" w:hanging="210"/>
      </w:pPr>
      <w:r>
        <w:rPr>
          <w:rFonts w:hint="eastAsia"/>
        </w:rPr>
        <w:t>第7条　前条の規定による検査に合格し，引渡しを完了したときは，受注者は，所定の手続に従つて供給代金を請求するものとする。</w:t>
      </w:r>
    </w:p>
    <w:p w:rsidR="003E0963" w:rsidRDefault="003E0963" w:rsidP="003E0963">
      <w:pPr>
        <w:adjustRightInd w:val="0"/>
        <w:ind w:left="210" w:hanging="210"/>
      </w:pPr>
      <w:r>
        <w:rPr>
          <w:rFonts w:hint="eastAsia"/>
        </w:rPr>
        <w:t>2　発注者は，前項の規定による請求があつたときは，当該請求のあつた日から30日以内に供給代金を支払い，契約保証金がある場合は返還するものとする。</w:t>
      </w:r>
    </w:p>
    <w:p w:rsidR="003E0963" w:rsidRDefault="003E0963" w:rsidP="003E0963">
      <w:pPr>
        <w:adjustRightInd w:val="0"/>
        <w:ind w:left="210" w:hanging="210"/>
      </w:pPr>
      <w:r>
        <w:rPr>
          <w:rFonts w:hint="eastAsia"/>
        </w:rPr>
        <w:t xml:space="preserve">　(分割納入に対する内払)</w:t>
      </w:r>
    </w:p>
    <w:p w:rsidR="003E0963" w:rsidRDefault="003E0963" w:rsidP="003E0963">
      <w:pPr>
        <w:adjustRightInd w:val="0"/>
        <w:ind w:left="210" w:hanging="210"/>
      </w:pPr>
      <w:r>
        <w:rPr>
          <w:rFonts w:hint="eastAsia"/>
        </w:rPr>
        <w:t>第8条　発注者が特に分割納入を求めた物件については，受注者はその供給代金の内払を請求することができる。</w:t>
      </w:r>
    </w:p>
    <w:p w:rsidR="003E0963" w:rsidRDefault="003E0963" w:rsidP="003E0963">
      <w:pPr>
        <w:adjustRightInd w:val="0"/>
        <w:ind w:left="210" w:hanging="210"/>
      </w:pPr>
      <w:r>
        <w:rPr>
          <w:rFonts w:hint="eastAsia"/>
        </w:rPr>
        <w:t>2　受注者は，前項の内払を受けようとするときは，内払申請書を発注者に提出しなければならない。</w:t>
      </w:r>
    </w:p>
    <w:p w:rsidR="003E0963" w:rsidRDefault="003E0963" w:rsidP="003E0963">
      <w:pPr>
        <w:adjustRightInd w:val="0"/>
        <w:ind w:left="210" w:hanging="210"/>
      </w:pPr>
      <w:r>
        <w:rPr>
          <w:rFonts w:hint="eastAsia"/>
        </w:rPr>
        <w:t>3　内払金は，受注者から正当な請求書を受理した日から15日以内に支払う。</w:t>
      </w:r>
    </w:p>
    <w:p w:rsidR="003E0963" w:rsidRDefault="003E0963" w:rsidP="003E0963">
      <w:pPr>
        <w:adjustRightInd w:val="0"/>
        <w:ind w:left="210" w:hanging="210"/>
      </w:pPr>
      <w:r>
        <w:rPr>
          <w:rFonts w:hint="eastAsia"/>
        </w:rPr>
        <w:t xml:space="preserve">　(瑕疵担保)</w:t>
      </w:r>
    </w:p>
    <w:p w:rsidR="003E0963" w:rsidRDefault="003E0963" w:rsidP="003E0963">
      <w:pPr>
        <w:adjustRightInd w:val="0"/>
        <w:ind w:left="210" w:hanging="210"/>
      </w:pPr>
      <w:r>
        <w:rPr>
          <w:rFonts w:hint="eastAsia"/>
        </w:rPr>
        <w:t>第9条　受注者は，供給した物件に瑕疵があるときは，発注者の請求により，その瑕疵を補修し，若しくは他の良品と引き換え，又は補修に代え，若しくは補修とともに損害を賠償しなければならない。この場合において，当該請求は，瑕疵担保契約期間内に行わなければならない。</w:t>
      </w:r>
    </w:p>
    <w:p w:rsidR="003E0963" w:rsidRDefault="003E0963" w:rsidP="003E0963">
      <w:pPr>
        <w:adjustRightInd w:val="0"/>
        <w:ind w:left="210" w:hanging="210"/>
      </w:pPr>
      <w:r>
        <w:rPr>
          <w:rFonts w:hint="eastAsia"/>
        </w:rPr>
        <w:t>2　瑕疵担保契約保証金のある場合は，瑕疵担保契約期間が経過した後に返還するものとする。</w:t>
      </w:r>
    </w:p>
    <w:p w:rsidR="003E0963" w:rsidRDefault="003E0963" w:rsidP="003E0963">
      <w:pPr>
        <w:adjustRightInd w:val="0"/>
        <w:ind w:left="210" w:hanging="210"/>
      </w:pPr>
      <w:r>
        <w:rPr>
          <w:rFonts w:hint="eastAsia"/>
        </w:rPr>
        <w:t xml:space="preserve">　(履行遅滞の場合の違約金)</w:t>
      </w:r>
    </w:p>
    <w:p w:rsidR="003E0963" w:rsidRDefault="003E0963" w:rsidP="003E0963">
      <w:pPr>
        <w:adjustRightInd w:val="0"/>
        <w:ind w:left="210" w:hanging="210"/>
      </w:pPr>
      <w:r>
        <w:rPr>
          <w:rFonts w:hint="eastAsia"/>
        </w:rPr>
        <w:t>第10条　受注者の責めに帰する理由により，納期内に物件を納入することができない場合において，期限後に納入する見込のあるときは，物件納入後，発注者は，受注者から違約金を徴収する。</w:t>
      </w:r>
    </w:p>
    <w:p w:rsidR="003E0963" w:rsidRDefault="003E0963" w:rsidP="003E0963">
      <w:pPr>
        <w:adjustRightInd w:val="0"/>
        <w:ind w:left="210" w:hanging="210"/>
      </w:pPr>
      <w:r>
        <w:rPr>
          <w:rFonts w:hint="eastAsia"/>
        </w:rPr>
        <w:t>2　前項の違約金は，遅延日数1日につき契約金額の1,000分の1とする。</w:t>
      </w:r>
    </w:p>
    <w:p w:rsidR="003E0963" w:rsidRDefault="003E0963" w:rsidP="003E0963">
      <w:pPr>
        <w:adjustRightInd w:val="0"/>
        <w:ind w:left="210" w:hanging="210"/>
      </w:pPr>
      <w:r>
        <w:rPr>
          <w:rFonts w:hint="eastAsia"/>
        </w:rPr>
        <w:t xml:space="preserve">　(発注者の契約解除権)</w:t>
      </w:r>
    </w:p>
    <w:p w:rsidR="003E0963" w:rsidRDefault="003E0963" w:rsidP="003E0963">
      <w:pPr>
        <w:adjustRightInd w:val="0"/>
        <w:ind w:left="210" w:hanging="210"/>
      </w:pPr>
      <w:r>
        <w:rPr>
          <w:rFonts w:hint="eastAsia"/>
        </w:rPr>
        <w:t>第11条　発注者は，受注者が次の各号のいずれかに該当するときは，契約を解除することができる。</w:t>
      </w:r>
    </w:p>
    <w:p w:rsidR="003E0963" w:rsidRDefault="003E0963" w:rsidP="003E0963">
      <w:pPr>
        <w:adjustRightInd w:val="0"/>
        <w:ind w:left="420" w:hanging="420"/>
      </w:pPr>
      <w:r>
        <w:rPr>
          <w:rFonts w:hint="eastAsia"/>
        </w:rPr>
        <w:t xml:space="preserve">　(1)　納期までに物件を納入しないとき，又は納入する見込みがないと明らかに認められるとき。</w:t>
      </w:r>
    </w:p>
    <w:p w:rsidR="003E0963" w:rsidRDefault="003E0963" w:rsidP="003E0963">
      <w:pPr>
        <w:adjustRightInd w:val="0"/>
        <w:ind w:left="420" w:hanging="420"/>
      </w:pPr>
      <w:r>
        <w:rPr>
          <w:rFonts w:hint="eastAsia"/>
        </w:rPr>
        <w:t xml:space="preserve">　(2)　検査の際，受注者又はその代理人その他の使用人が発注者の指定する職員の職務執行を妨げ，又は妨げようとしたとき。</w:t>
      </w:r>
    </w:p>
    <w:p w:rsidR="003E0963" w:rsidRDefault="003E0963" w:rsidP="003E0963">
      <w:pPr>
        <w:adjustRightInd w:val="0"/>
        <w:ind w:left="420" w:hanging="420"/>
      </w:pPr>
      <w:r>
        <w:rPr>
          <w:rFonts w:hint="eastAsia"/>
        </w:rPr>
        <w:t xml:space="preserve">　(3)　第2条の規定に違反したとき。</w:t>
      </w:r>
    </w:p>
    <w:p w:rsidR="003E0963" w:rsidRDefault="003E0963" w:rsidP="003E0963">
      <w:pPr>
        <w:adjustRightInd w:val="0"/>
        <w:ind w:left="420" w:hanging="420"/>
      </w:pPr>
      <w:r>
        <w:rPr>
          <w:rFonts w:hint="eastAsia"/>
        </w:rPr>
        <w:t xml:space="preserve">　(4)　前3号に掲げるもののほか，受注者又はその代理人その他の使用人が規則又はこの契約に違反したとき。</w:t>
      </w:r>
    </w:p>
    <w:p w:rsidR="003E0963" w:rsidRDefault="003E0963" w:rsidP="003E0963">
      <w:pPr>
        <w:adjustRightInd w:val="0"/>
        <w:ind w:left="210" w:hanging="210"/>
      </w:pPr>
      <w:r>
        <w:rPr>
          <w:rFonts w:hint="eastAsia"/>
        </w:rPr>
        <w:t>2　前項の規定により契約を解除した場合において，契約保証金があるときは，契約保証金は発注者に帰属するもの</w:t>
      </w:r>
      <w:r>
        <w:rPr>
          <w:rFonts w:hint="eastAsia"/>
        </w:rPr>
        <w:lastRenderedPageBreak/>
        <w:t>とし，契約保証金がない場合において発注者が損害を受けたときは，受注者は，その損害を賠償しなければならない。</w:t>
      </w:r>
    </w:p>
    <w:p w:rsidR="003E0963" w:rsidRDefault="003E0963" w:rsidP="003E0963">
      <w:pPr>
        <w:adjustRightInd w:val="0"/>
        <w:ind w:left="210" w:hanging="210"/>
      </w:pPr>
      <w:r>
        <w:rPr>
          <w:rFonts w:hint="eastAsia"/>
        </w:rPr>
        <w:t>第11条の2　発注者は，受注者が次の各号のいずれかに該当するときは，契約を解除することができる。この場合において，契約の解除により受注者に損害があつても，受注者はその損害の賠償の責めを負わないものとする。</w:t>
      </w:r>
    </w:p>
    <w:p w:rsidR="003E0963" w:rsidRDefault="003E0963" w:rsidP="003E0963">
      <w:pPr>
        <w:adjustRightInd w:val="0"/>
        <w:ind w:left="420" w:hanging="420"/>
      </w:pPr>
      <w:r>
        <w:rPr>
          <w:rFonts w:hint="eastAsia"/>
        </w:rPr>
        <w:t xml:space="preserve">　(1)　役員等(受注者が個人である場合にはその者を，受注者が法人である場合にはその法人の役員又はその支店若しくは営業所(常時物件の供給契約を締結する事務所をいう。)を代表する者をいう。以下同じ。)が集団的に，計画的に又は常習的に暴力的不法行為を行うおそれのある組織(以下「暴力団」という。)の関係者(以下「暴力団関係者」という。)であると認められるとき。</w:t>
      </w:r>
    </w:p>
    <w:p w:rsidR="003E0963" w:rsidRDefault="003E0963" w:rsidP="003E0963">
      <w:pPr>
        <w:adjustRightInd w:val="0"/>
        <w:ind w:left="420" w:hanging="420"/>
      </w:pPr>
      <w:r>
        <w:rPr>
          <w:rFonts w:hint="eastAsia"/>
        </w:rPr>
        <w:t xml:space="preserve">　(2)　役員等が，暴力団，暴力団関係者，暴力団関係者が経営若しくは運営に実質的に関与していると認められる法人若しくは組合等又は暴力団若しくは暴力団関係者と非難されるべき関係を有していると認められる法人若しくは組合等を利用するなどしていると認められるとき。</w:t>
      </w:r>
    </w:p>
    <w:p w:rsidR="003E0963" w:rsidRDefault="003E0963" w:rsidP="003E0963">
      <w:pPr>
        <w:adjustRightInd w:val="0"/>
        <w:ind w:left="420" w:hanging="420"/>
      </w:pPr>
      <w:r>
        <w:rPr>
          <w:rFonts w:hint="eastAsia"/>
        </w:rPr>
        <w:t xml:space="preserve">　(3)　役員等が，暴力団，暴力団関係者又は暴力団関係者が経営若しくは運営に実質的に関与していると認められる法人若しくは組合等に対して，資金等を供給し，又は便宜を供与するなど暴力団の維持運営に協力し，又は関与していると認められるとき。</w:t>
      </w:r>
    </w:p>
    <w:p w:rsidR="003E0963" w:rsidRDefault="003E0963" w:rsidP="003E0963">
      <w:pPr>
        <w:adjustRightInd w:val="0"/>
        <w:ind w:left="420" w:hanging="420"/>
      </w:pPr>
      <w:r>
        <w:rPr>
          <w:rFonts w:hint="eastAsia"/>
        </w:rPr>
        <w:t xml:space="preserve">　(4)　前3号のほか，役員等が，暴力団又は暴力団関係者と社会的に非難されるべき関係を有していると認められるとき。</w:t>
      </w:r>
    </w:p>
    <w:p w:rsidR="003E0963" w:rsidRDefault="003E0963" w:rsidP="003E0963">
      <w:pPr>
        <w:adjustRightInd w:val="0"/>
        <w:ind w:left="420" w:hanging="420"/>
      </w:pPr>
      <w:r>
        <w:rPr>
          <w:rFonts w:hint="eastAsia"/>
        </w:rPr>
        <w:t xml:space="preserve">　(5)　受注者の経営に暴力団関係者の実質的な関与があると認められるとき。</w:t>
      </w:r>
    </w:p>
    <w:p w:rsidR="003E0963" w:rsidRDefault="003E0963" w:rsidP="003E0963">
      <w:pPr>
        <w:adjustRightInd w:val="0"/>
        <w:ind w:left="420" w:hanging="420"/>
      </w:pPr>
      <w:r>
        <w:rPr>
          <w:rFonts w:hint="eastAsia"/>
        </w:rPr>
        <w:t xml:space="preserve">　(6)　第1号から第5号に規定する行為を行う者であると知りながら，その者と下請け契約又は資材，原材料の購入契約その他の契約を締結したとき。</w:t>
      </w:r>
    </w:p>
    <w:p w:rsidR="003E0963" w:rsidRDefault="003E0963" w:rsidP="003E0963">
      <w:pPr>
        <w:adjustRightInd w:val="0"/>
        <w:ind w:left="210" w:hanging="210"/>
      </w:pPr>
      <w:r>
        <w:rPr>
          <w:rFonts w:hint="eastAsia"/>
        </w:rPr>
        <w:t xml:space="preserve">　2　第11条第2項の規定は，前項の規定により契約を解除した場合について準用する。</w:t>
      </w:r>
    </w:p>
    <w:p w:rsidR="003E0963" w:rsidRDefault="003E0963" w:rsidP="003E0963">
      <w:pPr>
        <w:adjustRightInd w:val="0"/>
        <w:ind w:left="210" w:hanging="210"/>
      </w:pPr>
      <w:r>
        <w:rPr>
          <w:rFonts w:hint="eastAsia"/>
        </w:rPr>
        <w:t xml:space="preserve">　(受注者の契約解除権)</w:t>
      </w:r>
    </w:p>
    <w:p w:rsidR="003E0963" w:rsidRDefault="003E0963" w:rsidP="003E0963">
      <w:pPr>
        <w:adjustRightInd w:val="0"/>
        <w:ind w:left="210" w:hanging="210"/>
      </w:pPr>
      <w:r>
        <w:rPr>
          <w:rFonts w:hint="eastAsia"/>
        </w:rPr>
        <w:t>第12条　受注者は，発注者がこの契約に違反し，その違反によつて物件の納入が不可能となつたときは，契約を解除することができる。この場合において，受注者が損害を受けたときは，発注者は，その損害を賠償しなければならない。</w:t>
      </w:r>
    </w:p>
    <w:p w:rsidR="003E0963" w:rsidRDefault="003E0963" w:rsidP="003E0963">
      <w:pPr>
        <w:adjustRightInd w:val="0"/>
        <w:ind w:left="210" w:hanging="210"/>
      </w:pPr>
      <w:r>
        <w:rPr>
          <w:rFonts w:hint="eastAsia"/>
        </w:rPr>
        <w:t xml:space="preserve">　(談合その他不正行為に対する賠償金の徴収)</w:t>
      </w:r>
    </w:p>
    <w:p w:rsidR="003E0963" w:rsidRDefault="003E0963" w:rsidP="003E0963">
      <w:pPr>
        <w:adjustRightInd w:val="0"/>
        <w:ind w:left="210" w:hanging="210"/>
      </w:pPr>
      <w:r>
        <w:rPr>
          <w:rFonts w:hint="eastAsia"/>
        </w:rPr>
        <w:t>第13条　発注者は，受注者がこの契約について次の各号のいずれかに該当するときは，賠償金として，契約金額の100分の20に相当する額を徴収するものとする。ただし，発注者が賠償金を請求することが適当でないと認める場合は，この限りでない。</w:t>
      </w:r>
    </w:p>
    <w:p w:rsidR="003E0963" w:rsidRDefault="003E0963" w:rsidP="003E0963">
      <w:pPr>
        <w:adjustRightInd w:val="0"/>
        <w:ind w:left="420" w:hanging="420"/>
      </w:pPr>
      <w:r>
        <w:rPr>
          <w:rFonts w:hint="eastAsia"/>
        </w:rPr>
        <w:t xml:space="preserve">　(1)　私的独占の禁止及び公正取引の確保に関する法律(昭和22年法律第54号。以下この項において「独占禁止法」という。)第3条の規定により禁止される不当な取引制限を行つたとして独占禁止法第7条第1項又は第2項の規定による排除措置命令を受け，独占禁止法第49条第7項又は第52条第5項の規定により当該命令が確定したとき又は独占禁止法第49条第6項の規定により当該命令に係る審判請求を行い，独占禁止法第66条第1項から第3項までの規定による審決(当該命令に係る違反行為がなかつたと認められた場合の審決を除く。次号において同じ。)を受けたとき(独占禁止法第77条第1項の規定により当該審決の取消しの訴えを提起した場合は，その訴えについて請求棄却又は訴え却下の判決が確定したとき。次号において同じ。)。</w:t>
      </w:r>
    </w:p>
    <w:p w:rsidR="003E0963" w:rsidRDefault="003E0963" w:rsidP="003E0963">
      <w:pPr>
        <w:adjustRightInd w:val="0"/>
        <w:ind w:left="420" w:hanging="420"/>
      </w:pPr>
      <w:r>
        <w:rPr>
          <w:rFonts w:hint="eastAsia"/>
        </w:rPr>
        <w:t xml:space="preserve">　(2)　独占禁止法第3条の規定により禁止される不当な取引制限を行つたとして独占禁止法第7条の2第1項の規定による納付命令を受け，独占禁止法第50条第5項又は第52条第5項の規定により当該命令が確定したとき又は独占禁止法第50条第4項の規定により当該命令に係る審判請求を行い，独占禁止法第66条第1項から第3項までの規定による審決を受けたとき。</w:t>
      </w:r>
    </w:p>
    <w:p w:rsidR="003E0963" w:rsidRDefault="003E0963" w:rsidP="003E0963">
      <w:pPr>
        <w:adjustRightInd w:val="0"/>
        <w:ind w:left="420" w:hanging="420"/>
      </w:pPr>
      <w:r>
        <w:rPr>
          <w:rFonts w:hint="eastAsia"/>
        </w:rPr>
        <w:t xml:space="preserve">　(3)　受注者(法人の場合にあつては，その役員又は使用人)が刑法(明治40年法律第45号)第96条の6の規定に違反し，同条の規定による刑が確定したとき。</w:t>
      </w:r>
    </w:p>
    <w:p w:rsidR="003E0963" w:rsidRDefault="003E0963" w:rsidP="003E0963">
      <w:pPr>
        <w:adjustRightInd w:val="0"/>
        <w:ind w:left="210" w:hanging="210"/>
      </w:pPr>
      <w:r>
        <w:rPr>
          <w:rFonts w:hint="eastAsia"/>
        </w:rPr>
        <w:t>2　前項本文の規定により賠償金を徴収する場合において，受注者が共同企業体であり，既に解散しているときは，発注者は，受注者の代表であつた者又は構成員であつた者に賠償金の支払いを請求することができる。この場合において，受注者の代表であつた者又は構成員であつた者は，連帯して同項の額を発注者に支払わなければならない。</w:t>
      </w:r>
    </w:p>
    <w:p w:rsidR="003E0963" w:rsidRDefault="003E0963" w:rsidP="003E0963">
      <w:pPr>
        <w:adjustRightInd w:val="0"/>
        <w:ind w:left="210" w:hanging="210"/>
      </w:pPr>
      <w:r>
        <w:rPr>
          <w:rFonts w:hint="eastAsia"/>
        </w:rPr>
        <w:t>3　第1項本文の規定は，実際の損害額が同項に規定する賠償金の額を超える場合において，超過分につき賠償を請求することを妨げない。</w:t>
      </w:r>
    </w:p>
    <w:p w:rsidR="003E0963" w:rsidRDefault="003E0963" w:rsidP="003E0963">
      <w:pPr>
        <w:adjustRightInd w:val="0"/>
        <w:ind w:left="210" w:hanging="210"/>
      </w:pPr>
      <w:r>
        <w:rPr>
          <w:rFonts w:hint="eastAsia"/>
        </w:rPr>
        <w:lastRenderedPageBreak/>
        <w:t>4　前3項の規定は，この契約の履行が完了した後においても適用するものとする。</w:t>
      </w:r>
    </w:p>
    <w:p w:rsidR="003E0963" w:rsidRDefault="003E0963" w:rsidP="003E0963">
      <w:pPr>
        <w:adjustRightInd w:val="0"/>
        <w:ind w:left="210" w:hanging="210"/>
      </w:pPr>
      <w:r>
        <w:rPr>
          <w:rFonts w:hint="eastAsia"/>
        </w:rPr>
        <w:t xml:space="preserve">　(疑義の解決等)</w:t>
      </w:r>
    </w:p>
    <w:p w:rsidR="003E0963" w:rsidRDefault="003E0963" w:rsidP="003E0963">
      <w:pPr>
        <w:adjustRightInd w:val="0"/>
        <w:ind w:left="210" w:hanging="210"/>
      </w:pPr>
      <w:r>
        <w:rPr>
          <w:rFonts w:hint="eastAsia"/>
        </w:rPr>
        <w:t>第14条　この契約について疑義が生じたとき，又はこの契約書に定めのない事項については，規則の定めるところによるほか，その都度発注者と受注者とが協議の上，定めるものとする。</w:t>
      </w:r>
    </w:p>
    <w:p w:rsidR="003E0963" w:rsidRDefault="003E0963" w:rsidP="003E0963">
      <w:pPr>
        <w:adjustRightInd w:val="0"/>
        <w:ind w:left="210" w:hanging="210"/>
      </w:pPr>
    </w:p>
    <w:p w:rsidR="003E0963" w:rsidRDefault="003E0963" w:rsidP="003E0963">
      <w:pPr>
        <w:adjustRightInd w:val="0"/>
        <w:ind w:left="210" w:hanging="210"/>
      </w:pPr>
      <w:r>
        <w:rPr>
          <w:rFonts w:hint="eastAsia"/>
        </w:rPr>
        <w:t xml:space="preserve">　この契約の締結を証するため，本書2通を作成し，当事者記名押印のうえ，各自その1通を保有する。</w:t>
      </w:r>
    </w:p>
    <w:p w:rsidR="003E0963" w:rsidRDefault="003E0963"/>
    <w:sectPr w:rsidR="003E0963" w:rsidSect="003E0963">
      <w:pgSz w:w="11900" w:h="16924" w:code="9"/>
      <w:pgMar w:top="567" w:right="567" w:bottom="567" w:left="567"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63"/>
    <w:rsid w:val="001F0CBF"/>
    <w:rsid w:val="003E0963"/>
    <w:rsid w:val="007E7A1E"/>
    <w:rsid w:val="008B6291"/>
    <w:rsid w:val="00EE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854B6D4-974A-4301-8186-077923D0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63"/>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D942DA31.dotm</Template>
  <TotalTime>0</TotalTime>
  <Pages>4</Pages>
  <Words>652</Words>
  <Characters>3719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第11号様式(第26条関係)</vt:lpstr>
      <vt:lpstr>第11号様式(第26条関係)</vt:lpstr>
    </vt:vector>
  </TitlesOfParts>
  <Company>藤沢市</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第11号様式(第26条関係)</dc:title>
  <dc:subject/>
  <dc:creator>09115</dc:creator>
  <cp:keywords/>
  <dc:description/>
  <cp:lastModifiedBy>松下　敦子</cp:lastModifiedBy>
  <cp:revision>2</cp:revision>
  <dcterms:created xsi:type="dcterms:W3CDTF">2022-01-25T04:08:00Z</dcterms:created>
  <dcterms:modified xsi:type="dcterms:W3CDTF">2022-01-25T04:08:00Z</dcterms:modified>
</cp:coreProperties>
</file>